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0" w:rsidRDefault="007035E0" w:rsidP="007035E0">
      <w:pPr>
        <w:spacing w:before="134"/>
        <w:ind w:firstLine="697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  <w:color w:val="26282F"/>
        </w:rPr>
        <w:t>Приложение N 4</w:t>
      </w:r>
      <w:r>
        <w:br/>
      </w:r>
      <w:r>
        <w:rPr>
          <w:rFonts w:ascii="Times New Roman CYR" w:hAnsi="Times New Roman CYR"/>
          <w:color w:val="26282F"/>
        </w:rPr>
        <w:t>к</w:t>
      </w:r>
      <w:r>
        <w:rPr>
          <w:rFonts w:ascii="Times New Roman CYR" w:hAnsi="Times New Roman CYR"/>
        </w:rPr>
        <w:t xml:space="preserve"> </w:t>
      </w:r>
      <w:hyperlink w:anchor="sub_1000" w:history="1">
        <w:r>
          <w:rPr>
            <w:rFonts w:ascii="Times New Roman CYR" w:hAnsi="Times New Roman CYR"/>
            <w:color w:val="0000EE"/>
            <w:u w:val="single" w:color="000000"/>
          </w:rPr>
          <w:t>Правилам</w:t>
        </w:r>
      </w:hyperlink>
      <w:r>
        <w:rPr>
          <w:rFonts w:ascii="Times New Roman CYR" w:hAnsi="Times New Roman CYR"/>
          <w:color w:val="26282F"/>
        </w:rPr>
        <w:t xml:space="preserve"> противопожарного</w:t>
      </w:r>
      <w:r>
        <w:br/>
      </w:r>
      <w:r>
        <w:rPr>
          <w:rFonts w:ascii="Times New Roman CYR" w:hAnsi="Times New Roman CYR"/>
          <w:color w:val="26282F"/>
        </w:rPr>
        <w:t>режима в Российской Федерации</w:t>
      </w:r>
    </w:p>
    <w:p w:rsidR="007035E0" w:rsidRDefault="007035E0" w:rsidP="007035E0">
      <w:pPr>
        <w:spacing w:before="80" w:after="80"/>
        <w:jc w:val="center"/>
        <w:rPr>
          <w:rFonts w:ascii="Times New Roman CYR" w:hAnsi="Times New Roman CYR"/>
          <w:b/>
          <w:color w:val="26282F"/>
        </w:rPr>
      </w:pPr>
    </w:p>
    <w:p w:rsidR="007035E0" w:rsidRDefault="007035E0" w:rsidP="007035E0">
      <w:pPr>
        <w:spacing w:before="80" w:after="80"/>
        <w:jc w:val="center"/>
        <w:rPr>
          <w:rFonts w:ascii="Times New Roman CYR" w:hAnsi="Times New Roman CYR"/>
          <w:b/>
          <w:color w:val="26282F"/>
        </w:rPr>
      </w:pPr>
      <w:r>
        <w:rPr>
          <w:rFonts w:ascii="Times New Roman CYR" w:hAnsi="Times New Roman CYR"/>
          <w:b/>
          <w:color w:val="26282F"/>
        </w:rPr>
        <w:t xml:space="preserve">                    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 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б) </w:t>
      </w:r>
      <w:r>
        <w:rPr>
          <w:rFonts w:ascii="Times New Roman CYR" w:hAnsi="Times New Roman CYR"/>
          <w:u w:val="single"/>
        </w:rPr>
        <w:t>место использования открытого огня</w:t>
      </w:r>
      <w:r>
        <w:rPr>
          <w:rFonts w:ascii="Times New Roman CYR" w:hAnsi="Times New Roman CYR"/>
        </w:rPr>
        <w:t xml:space="preserve"> должно располагаться </w:t>
      </w:r>
      <w:r>
        <w:rPr>
          <w:rFonts w:ascii="Times New Roman CYR" w:hAnsi="Times New Roman CYR"/>
          <w:u w:val="single"/>
        </w:rPr>
        <w:t>на расстоянии не менее 50 метров от ближайшего объекта</w:t>
      </w:r>
      <w:r>
        <w:rPr>
          <w:rFonts w:ascii="Times New Roman CYR" w:hAnsi="Times New Roman CYR"/>
        </w:rPr>
        <w:t xml:space="preserve"> (здания, сооружения, постройки, открытого склада, скирды), </w:t>
      </w:r>
      <w:r>
        <w:rPr>
          <w:rFonts w:ascii="Times New Roman CYR" w:hAnsi="Times New Roman CYR"/>
          <w:u w:val="single"/>
        </w:rPr>
        <w:t>100 метров -от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  <w:r>
        <w:rPr>
          <w:rFonts w:ascii="Times New Roman CYR" w:hAnsi="Times New Roman CYR"/>
        </w:rPr>
        <w:t xml:space="preserve"> 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 использовании открытого огня </w:t>
      </w:r>
      <w:r>
        <w:rPr>
          <w:rFonts w:ascii="Times New Roman CYR" w:hAnsi="Times New Roman CYR"/>
          <w:u w:val="single"/>
        </w:rPr>
        <w:t>для сжигания сухой травы, веток, листвы и другой горючей растительности на индивидуальных земельных участках населенных пунктов,</w:t>
      </w:r>
      <w:r>
        <w:rPr>
          <w:rFonts w:ascii="Times New Roman CYR" w:hAnsi="Times New Roman CYR"/>
        </w:rPr>
        <w:t xml:space="preserve"> а также </w:t>
      </w:r>
      <w:r>
        <w:rPr>
          <w:rFonts w:ascii="Times New Roman CYR" w:hAnsi="Times New Roman CYR"/>
          <w:u w:val="single"/>
        </w:rPr>
        <w:t>на садовых или огородных земельных участках</w:t>
      </w:r>
      <w:r>
        <w:rPr>
          <w:rFonts w:ascii="Times New Roman CYR" w:hAnsi="Times New Roman CYR"/>
        </w:rPr>
        <w:t xml:space="preserve"> место использования открытого огня должно располагаться </w:t>
      </w:r>
      <w:r>
        <w:rPr>
          <w:rFonts w:ascii="Times New Roman CYR" w:hAnsi="Times New Roman CYR"/>
          <w:u w:val="single"/>
        </w:rPr>
        <w:t>на расстоянии не менее 15 метров до зданий</w:t>
      </w:r>
      <w:r>
        <w:rPr>
          <w:rFonts w:ascii="Times New Roman CYR" w:hAnsi="Times New Roman CYR"/>
        </w:rPr>
        <w:t>, сооружений и иных построек;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3. При использовании открытого огня для сжигания сухой травы, веток, листвы и другой горючей растительности </w:t>
      </w:r>
      <w:r>
        <w:rPr>
          <w:rFonts w:ascii="Times New Roman CYR" w:hAnsi="Times New Roman CYR"/>
          <w:u w:val="single"/>
        </w:rPr>
        <w:t>в металлической емкости или емкости, выполненной из иных негорючих материалов,</w:t>
      </w:r>
      <w:r>
        <w:rPr>
          <w:rFonts w:ascii="Times New Roman CYR" w:hAnsi="Times New Roman CYR"/>
        </w:rPr>
        <w:t xml:space="preserve"> исключающей распространение пламени и выпадение горючих материалов за пределы очага горения, </w:t>
      </w:r>
      <w:r>
        <w:rPr>
          <w:rFonts w:ascii="Times New Roman CYR" w:hAnsi="Times New Roman CYR"/>
          <w:u w:val="single"/>
        </w:rPr>
        <w:t>минимально допустимые расстояния</w:t>
      </w:r>
      <w:r>
        <w:rPr>
          <w:rFonts w:ascii="Times New Roman CYR" w:hAnsi="Times New Roman CYR"/>
        </w:rPr>
        <w:t xml:space="preserve">, предусмотренные </w:t>
      </w:r>
      <w:hyperlink w:anchor="sub_14022" w:history="1">
        <w:r>
          <w:rPr>
            <w:rFonts w:ascii="Times New Roman CYR" w:hAnsi="Times New Roman CYR"/>
            <w:color w:val="0000EE"/>
            <w:u w:val="single" w:color="000000"/>
          </w:rPr>
          <w:t>подпунктами "б"</w:t>
        </w:r>
      </w:hyperlink>
      <w:r>
        <w:rPr>
          <w:rFonts w:ascii="Times New Roman CYR" w:hAnsi="Times New Roman CYR"/>
        </w:rPr>
        <w:t xml:space="preserve"> и </w:t>
      </w:r>
      <w:hyperlink w:anchor="sub_14023" w:history="1">
        <w:r>
          <w:rPr>
            <w:rFonts w:ascii="Times New Roman CYR" w:hAnsi="Times New Roman CYR"/>
            <w:color w:val="0000EE"/>
            <w:u w:val="single" w:color="000000"/>
          </w:rPr>
          <w:t>"в" пункта 2</w:t>
        </w:r>
      </w:hyperlink>
      <w:r>
        <w:rPr>
          <w:rFonts w:ascii="Times New Roman CYR" w:hAnsi="Times New Roman CYR"/>
        </w:rPr>
        <w:t xml:space="preserve"> порядка, </w:t>
      </w:r>
      <w:r>
        <w:rPr>
          <w:rFonts w:ascii="Times New Roman CYR" w:hAnsi="Times New Roman CYR"/>
          <w:u w:val="single"/>
        </w:rPr>
        <w:t>могут быть уменьшены вдвое.</w:t>
      </w:r>
      <w:r>
        <w:rPr>
          <w:rFonts w:ascii="Times New Roman CYR" w:hAnsi="Times New Roman CYR"/>
        </w:rPr>
        <w:t xml:space="preserve"> При этом устройство противопожарной минерализованной полосы не требуется.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4. В целях своевременной локализации процесса горения</w:t>
      </w:r>
      <w:r>
        <w:rPr>
          <w:rFonts w:ascii="Times New Roman CYR" w:hAnsi="Times New Roman CYR"/>
          <w:u w:val="single"/>
        </w:rPr>
        <w:t xml:space="preserve"> емкость, предназначенная для сжигания</w:t>
      </w:r>
      <w:r>
        <w:rPr>
          <w:rFonts w:ascii="Times New Roman CYR" w:hAnsi="Times New Roman CYR"/>
        </w:rPr>
        <w:t xml:space="preserve"> мусора, должна использоваться </w:t>
      </w:r>
      <w:r>
        <w:rPr>
          <w:rFonts w:ascii="Times New Roman CYR" w:hAnsi="Times New Roman CYR"/>
          <w:u w:val="single"/>
        </w:rPr>
        <w:t>с металлическим листом</w:t>
      </w:r>
      <w:r>
        <w:rPr>
          <w:rFonts w:ascii="Times New Roman CYR" w:hAnsi="Times New Roman CYR"/>
        </w:rPr>
        <w:t>, размер которого должен позволять полностью закрыть указанную емкость сверху.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</w:rPr>
        <w:t xml:space="preserve">5. </w:t>
      </w:r>
      <w:r>
        <w:rPr>
          <w:rFonts w:ascii="Times New Roman CYR" w:hAnsi="Times New Roman CYR"/>
          <w:u w:val="single"/>
        </w:rPr>
        <w:t>При использовании открытого огня</w:t>
      </w:r>
      <w:r>
        <w:rPr>
          <w:rFonts w:ascii="Times New Roman CYR" w:hAnsi="Times New Roman CYR"/>
        </w:rPr>
        <w:t xml:space="preserve"> и разведении костров </w:t>
      </w:r>
      <w:r>
        <w:rPr>
          <w:rFonts w:ascii="Times New Roman CYR" w:hAnsi="Times New Roman CYR"/>
          <w:u w:val="single"/>
        </w:rPr>
        <w:t>для приготовления пищи</w:t>
      </w:r>
      <w:r>
        <w:rPr>
          <w:rFonts w:ascii="Times New Roman CYR" w:hAnsi="Times New Roman CYR"/>
        </w:rPr>
        <w:t xml:space="preserve"> в специальных несгораемых емкостях (например, </w:t>
      </w:r>
      <w:r>
        <w:rPr>
          <w:rFonts w:ascii="Times New Roman CYR" w:hAnsi="Times New Roman CYR"/>
          <w:u w:val="single"/>
        </w:rPr>
        <w:t>мангалах, жаровнях)</w:t>
      </w:r>
      <w:r>
        <w:rPr>
          <w:rFonts w:ascii="Times New Roman CYR" w:hAnsi="Times New Roman CYR"/>
        </w:rPr>
        <w:t xml:space="preserve"> на земельных участках населенных пунктов, а также на садовых или огородных земельных участках </w:t>
      </w:r>
      <w:r>
        <w:rPr>
          <w:rFonts w:ascii="Times New Roman CYR" w:hAnsi="Times New Roman CYR"/>
          <w:u w:val="single"/>
        </w:rPr>
        <w:t>противопожарное расстояние от очага горения до зданий</w:t>
      </w:r>
      <w:r>
        <w:rPr>
          <w:rFonts w:ascii="Times New Roman CYR" w:hAnsi="Times New Roman CYR"/>
        </w:rPr>
        <w:t xml:space="preserve">, сооружений и иных построек </w:t>
      </w:r>
      <w:r>
        <w:rPr>
          <w:rFonts w:ascii="Times New Roman CYR" w:hAnsi="Times New Roman CYR"/>
          <w:u w:val="single"/>
        </w:rPr>
        <w:lastRenderedPageBreak/>
        <w:t>допускается уменьшать до 5 метров</w:t>
      </w:r>
      <w:r>
        <w:rPr>
          <w:rFonts w:ascii="Times New Roman CYR" w:hAnsi="Times New Roman CYR"/>
        </w:rPr>
        <w:t xml:space="preserve">, </w:t>
      </w:r>
      <w:r>
        <w:rPr>
          <w:rFonts w:ascii="Times New Roman CYR" w:hAnsi="Times New Roman CYR"/>
          <w:u w:val="single"/>
        </w:rPr>
        <w:t>а зону очистки вокруг емкости от горючих материалов - до 2 метров.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6. В случаях выполнения работ по уничтожению сухой травянистой растительности, стерни, пожнивных остатков и иных горючих отходов,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hyperlink w:anchor="sub_14100" w:history="1">
        <w:r>
          <w:rPr>
            <w:rFonts w:ascii="Times New Roman CYR" w:hAnsi="Times New Roman CYR"/>
            <w:color w:val="0000EE"/>
          </w:rPr>
          <w:t>приложению</w:t>
        </w:r>
      </w:hyperlink>
      <w:r>
        <w:rPr>
          <w:rFonts w:ascii="Times New Roman CYR" w:hAnsi="Times New Roman CYR"/>
        </w:rPr>
        <w:t>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7. При увеличении диаметра зоны очага горения должны быть выполнены требования </w:t>
      </w:r>
      <w:hyperlink w:anchor="sub_14002" w:history="1">
        <w:r>
          <w:rPr>
            <w:rFonts w:ascii="Times New Roman CYR" w:hAnsi="Times New Roman CYR"/>
            <w:color w:val="0000EE"/>
            <w:u w:val="single" w:color="000000"/>
          </w:rPr>
          <w:t>пункта 2</w:t>
        </w:r>
      </w:hyperlink>
      <w:r>
        <w:rPr>
          <w:rFonts w:ascii="Times New Roman CYR" w:hAnsi="Times New Roman CYR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</w:rPr>
        <w:t xml:space="preserve"> 8. </w:t>
      </w:r>
      <w:r>
        <w:rPr>
          <w:rFonts w:ascii="Times New Roman CYR" w:hAnsi="Times New Roman CYR"/>
          <w:u w:val="single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 9. Использование открытого огня запрещается: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 на торфяных почвах;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 установлении на соответствующей территории </w:t>
      </w:r>
      <w:hyperlink r:id="rId4" w:history="1">
        <w:r>
          <w:rPr>
            <w:rFonts w:ascii="Times New Roman CYR" w:hAnsi="Times New Roman CYR"/>
            <w:color w:val="0000EE"/>
            <w:u w:val="single" w:color="000000"/>
          </w:rPr>
          <w:t>особого противопожарного режима</w:t>
        </w:r>
      </w:hyperlink>
      <w:r>
        <w:rPr>
          <w:rFonts w:ascii="Times New Roman CYR" w:hAnsi="Times New Roman CYR"/>
        </w:rPr>
        <w:t>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>под кронами деревьев хвойных пород;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при скорости ветра, превышающей значение 10 метров в секунду.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u w:val="single"/>
        </w:rPr>
        <w:t>10. В процессе использования открытого огня запрещается: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>оставлять место очага горения без присмотра до полного прекращения горения (тления);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располагать легковоспламеняющиеся и горючие жидкости, а также горючие материалы вблизи очага горения.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</w:p>
    <w:p w:rsidR="007035E0" w:rsidRDefault="007035E0" w:rsidP="007035E0">
      <w:pPr>
        <w:spacing w:line="240" w:lineRule="auto"/>
        <w:ind w:firstLine="720"/>
        <w:jc w:val="both"/>
        <w:rPr>
          <w:rFonts w:ascii="Times New Roman CYR" w:hAnsi="Times New Roman CYR"/>
        </w:rPr>
      </w:pPr>
    </w:p>
    <w:p w:rsidR="007035E0" w:rsidRDefault="007035E0" w:rsidP="007035E0">
      <w:pPr>
        <w:spacing w:line="240" w:lineRule="auto"/>
      </w:pPr>
    </w:p>
    <w:p w:rsidR="00544D34" w:rsidRDefault="00544D34">
      <w:bookmarkStart w:id="0" w:name="_GoBack"/>
      <w:bookmarkEnd w:id="0"/>
    </w:p>
    <w:sectPr w:rsidR="00544D3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E0"/>
    <w:rsid w:val="00544D34"/>
    <w:rsid w:val="007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237B-4875-4D1B-A21A-75D65F78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0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10103955/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2024-04-10T13:32:00Z</dcterms:created>
  <dcterms:modified xsi:type="dcterms:W3CDTF">2024-04-10T13:33:00Z</dcterms:modified>
</cp:coreProperties>
</file>